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</w:tblGrid>
      <w:tr w:rsidR="001B7A95" w14:paraId="3736D8A9" w14:textId="77777777" w:rsidTr="001B7A95">
        <w:tc>
          <w:tcPr>
            <w:tcW w:w="10070" w:type="dxa"/>
            <w:shd w:val="clear" w:color="auto" w:fill="ED7D31" w:themeFill="accent2"/>
          </w:tcPr>
          <w:p w14:paraId="2E20B119" w14:textId="5A3DFFC7" w:rsidR="001B7A95" w:rsidRPr="001B7A95" w:rsidRDefault="001B7A95" w:rsidP="001B7A95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1B7A95">
              <w:rPr>
                <w:b/>
                <w:sz w:val="32"/>
                <w:szCs w:val="32"/>
              </w:rPr>
              <w:t>IGCSE Geography – Food Aid</w:t>
            </w:r>
          </w:p>
        </w:tc>
      </w:tr>
    </w:tbl>
    <w:p w14:paraId="258C6266" w14:textId="77777777" w:rsidR="001B7A95" w:rsidRPr="001B7A95" w:rsidRDefault="001B7A95">
      <w:pPr>
        <w:spacing w:after="0"/>
        <w:ind w:left="-5" w:hanging="10"/>
        <w:rPr>
          <w:b/>
          <w:sz w:val="24"/>
          <w:szCs w:val="24"/>
        </w:rPr>
      </w:pPr>
    </w:p>
    <w:p w14:paraId="3E9C0C97" w14:textId="06452440" w:rsidR="009367BD" w:rsidRDefault="00000000" w:rsidP="001B7A95">
      <w:pPr>
        <w:spacing w:after="0"/>
        <w:ind w:left="-5" w:hanging="10"/>
        <w:jc w:val="right"/>
      </w:pPr>
      <w:r>
        <w:rPr>
          <w:b/>
        </w:rPr>
        <w:t>Task 1</w:t>
      </w:r>
      <w:r>
        <w:t xml:space="preserve">. Types of Aid – Match the correct description with the type of aid beneath.  </w:t>
      </w:r>
    </w:p>
    <w:tbl>
      <w:tblPr>
        <w:tblStyle w:val="TableGrid"/>
        <w:tblW w:w="9352" w:type="dxa"/>
        <w:tblInd w:w="720" w:type="dxa"/>
        <w:tblCellMar>
          <w:top w:w="54" w:type="dxa"/>
          <w:left w:w="10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9367BD" w14:paraId="12FD9FF1" w14:textId="77777777">
        <w:trPr>
          <w:trHeight w:val="497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CC35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color w:val="333333"/>
                <w:sz w:val="20"/>
              </w:rPr>
              <w:t>Conditional or tied aid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CE72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funded by donations from the public through organisations such as OXFAM.</w:t>
            </w:r>
            <w:r>
              <w:t xml:space="preserve"> </w:t>
            </w:r>
          </w:p>
        </w:tc>
      </w:tr>
      <w:tr w:rsidR="009367BD" w14:paraId="2D5BD8E5" w14:textId="77777777">
        <w:trPr>
          <w:trHeight w:val="173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A0B1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color w:val="333333"/>
                <w:sz w:val="20"/>
              </w:rPr>
              <w:t>Long-term or development aid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6C5D" w14:textId="77777777" w:rsidR="009367BD" w:rsidRDefault="00000000">
            <w:pPr>
              <w:spacing w:after="0"/>
            </w:pPr>
            <w:r>
              <w:t xml:space="preserve"> Is w</w:t>
            </w:r>
            <w:r>
              <w:rPr>
                <w:rFonts w:ascii="Verdana" w:eastAsia="Verdana" w:hAnsi="Verdana" w:cs="Verdana"/>
                <w:color w:val="333333"/>
                <w:sz w:val="20"/>
              </w:rPr>
              <w:t xml:space="preserve">hen one country donates money or resources to another (bilateral aid) but with conditions attached. These conditions will often be in the MEDC's favour, </w:t>
            </w:r>
            <w:proofErr w:type="spellStart"/>
            <w:proofErr w:type="gramStart"/>
            <w:r>
              <w:rPr>
                <w:rFonts w:ascii="Verdana" w:eastAsia="Verdana" w:hAnsi="Verdana" w:cs="Verdana"/>
                <w:color w:val="333333"/>
                <w:sz w:val="20"/>
              </w:rPr>
              <w:t>eg</w:t>
            </w:r>
            <w:proofErr w:type="spellEnd"/>
            <w:proofErr w:type="gramEnd"/>
            <w:r>
              <w:rPr>
                <w:rFonts w:ascii="Verdana" w:eastAsia="Verdana" w:hAnsi="Verdana" w:cs="Verdana"/>
                <w:color w:val="333333"/>
                <w:sz w:val="20"/>
              </w:rPr>
              <w:t xml:space="preserve"> the controversial </w:t>
            </w:r>
            <w:proofErr w:type="spellStart"/>
            <w:r>
              <w:rPr>
                <w:rFonts w:ascii="Verdana" w:eastAsia="Verdana" w:hAnsi="Verdana" w:cs="Verdana"/>
                <w:color w:val="333333"/>
                <w:sz w:val="20"/>
              </w:rPr>
              <w:t>Pergau</w:t>
            </w:r>
            <w:proofErr w:type="spellEnd"/>
            <w:r>
              <w:rPr>
                <w:rFonts w:ascii="Verdana" w:eastAsia="Verdana" w:hAnsi="Verdana" w:cs="Verdana"/>
                <w:color w:val="333333"/>
                <w:sz w:val="20"/>
              </w:rPr>
              <w:t xml:space="preserve"> Dam project in Malaysia, where Britain used aid to secure trade deals with Malaysia.</w:t>
            </w:r>
            <w:r>
              <w:t xml:space="preserve"> </w:t>
            </w:r>
          </w:p>
        </w:tc>
      </w:tr>
      <w:tr w:rsidR="009367BD" w14:paraId="0F474EAD" w14:textId="77777777">
        <w:trPr>
          <w:trHeight w:val="739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8A01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color w:val="333333"/>
                <w:sz w:val="20"/>
              </w:rPr>
              <w:t>Charitable aid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26C7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20"/>
              </w:rPr>
              <w:t>needed after sudden disasters such as the 2000 Mozambique floods or the 2004 Asian tsunami.</w:t>
            </w:r>
            <w:r>
              <w:t xml:space="preserve"> </w:t>
            </w:r>
          </w:p>
        </w:tc>
      </w:tr>
      <w:tr w:rsidR="009367BD" w14:paraId="431D78A9" w14:textId="77777777">
        <w:trPr>
          <w:trHeight w:val="985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0708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b/>
                <w:color w:val="333333"/>
                <w:sz w:val="20"/>
              </w:rPr>
              <w:t>Emergency or short-term aid</w:t>
            </w:r>
            <w: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2FD" w14:textId="77777777" w:rsidR="009367BD" w:rsidRDefault="00000000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BF20CDA" wp14:editId="4FE3C9E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125754</wp:posOffset>
                      </wp:positionV>
                      <wp:extent cx="2810764" cy="306629"/>
                      <wp:effectExtent l="0" t="0" r="0" b="0"/>
                      <wp:wrapNone/>
                      <wp:docPr id="2770" name="Group 2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0764" cy="306629"/>
                                <a:chOff x="0" y="0"/>
                                <a:chExt cx="2810764" cy="306629"/>
                              </a:xfrm>
                            </wpg:grpSpPr>
                            <wps:wsp>
                              <wps:cNvPr id="2910" name="Shape 2910"/>
                              <wps:cNvSpPr/>
                              <wps:spPr>
                                <a:xfrm>
                                  <a:off x="1522730" y="0"/>
                                  <a:ext cx="719633" cy="152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9633" h="152705">
                                      <a:moveTo>
                                        <a:pt x="0" y="0"/>
                                      </a:moveTo>
                                      <a:lnTo>
                                        <a:pt x="719633" y="0"/>
                                      </a:lnTo>
                                      <a:lnTo>
                                        <a:pt x="719633" y="152705"/>
                                      </a:lnTo>
                                      <a:lnTo>
                                        <a:pt x="0" y="1527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F4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1" name="Shape 2911"/>
                              <wps:cNvSpPr/>
                              <wps:spPr>
                                <a:xfrm>
                                  <a:off x="0" y="154229"/>
                                  <a:ext cx="826313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6313" h="152400">
                                      <a:moveTo>
                                        <a:pt x="0" y="0"/>
                                      </a:moveTo>
                                      <a:lnTo>
                                        <a:pt x="826313" y="0"/>
                                      </a:lnTo>
                                      <a:lnTo>
                                        <a:pt x="826313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BF49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2" name="Shape 2912"/>
                              <wps:cNvSpPr/>
                              <wps:spPr>
                                <a:xfrm>
                                  <a:off x="826262" y="154229"/>
                                  <a:ext cx="1984502" cy="152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4502" h="152400">
                                      <a:moveTo>
                                        <a:pt x="0" y="0"/>
                                      </a:moveTo>
                                      <a:lnTo>
                                        <a:pt x="1984502" y="0"/>
                                      </a:lnTo>
                                      <a:lnTo>
                                        <a:pt x="1984502" y="15240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770" style="width:221.32pt;height:24.144pt;position:absolute;z-index:-2147483542;mso-position-horizontal-relative:text;mso-position-horizontal:absolute;margin-left:5.39999pt;mso-position-vertical-relative:text;margin-top:9.90192pt;" coordsize="28107,3066">
                      <v:shape id="Shape 2913" style="position:absolute;width:7196;height:1527;left:15227;top:0;" coordsize="719633,152705" path="m0,0l719633,0l719633,152705l0,152705l0,0">
                        <v:stroke weight="0pt" endcap="flat" joinstyle="miter" miterlimit="10" on="false" color="#000000" opacity="0"/>
                        <v:fill on="true" color="#fbf49c"/>
                      </v:shape>
                      <v:shape id="Shape 2914" style="position:absolute;width:8263;height:1524;left:0;top:1542;" coordsize="826313,152400" path="m0,0l826313,0l826313,152400l0,152400l0,0">
                        <v:stroke weight="0pt" endcap="flat" joinstyle="miter" miterlimit="10" on="false" color="#000000" opacity="0"/>
                        <v:fill on="true" color="#fbf49c"/>
                      </v:shape>
                      <v:shape id="Shape 2915" style="position:absolute;width:19845;height:1524;left:8262;top:1542;" coordsize="1984502,152400" path="m0,0l1984502,0l1984502,152400l0,152400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color w:val="333333"/>
                <w:sz w:val="20"/>
              </w:rPr>
              <w:t xml:space="preserve">involves providing local communities with education and skills for </w:t>
            </w:r>
            <w:r w:rsidRPr="00DD5EFF">
              <w:rPr>
                <w:rFonts w:ascii="Verdana" w:eastAsia="Verdana" w:hAnsi="Verdana" w:cs="Verdana"/>
                <w:i/>
                <w:color w:val="333333"/>
                <w:sz w:val="20"/>
              </w:rPr>
              <w:t>sustainable development</w:t>
            </w:r>
            <w:r w:rsidRPr="00DD5EFF">
              <w:rPr>
                <w:rFonts w:ascii="Verdana" w:eastAsia="Verdana" w:hAnsi="Verdana" w:cs="Verdana"/>
                <w:color w:val="333333"/>
                <w:sz w:val="20"/>
              </w:rPr>
              <w:t>,</w:t>
            </w:r>
            <w:r>
              <w:rPr>
                <w:rFonts w:ascii="Verdana" w:eastAsia="Verdana" w:hAnsi="Verdana" w:cs="Verdana"/>
                <w:color w:val="333333"/>
                <w:sz w:val="20"/>
              </w:rPr>
              <w:t xml:space="preserve"> usually through organisations such as Practical Action.</w:t>
            </w:r>
            <w:r>
              <w:t xml:space="preserve"> </w:t>
            </w:r>
          </w:p>
        </w:tc>
      </w:tr>
    </w:tbl>
    <w:p w14:paraId="5CAAC070" w14:textId="2961A60F" w:rsidR="009367BD" w:rsidRDefault="009367BD">
      <w:pPr>
        <w:spacing w:after="158"/>
      </w:pPr>
    </w:p>
    <w:p w14:paraId="6DB03BFA" w14:textId="4B9B8C49" w:rsidR="009367BD" w:rsidRDefault="00000000" w:rsidP="001B7A95">
      <w:pPr>
        <w:ind w:left="-5" w:hanging="10"/>
        <w:jc w:val="center"/>
      </w:pPr>
      <w:r>
        <w:rPr>
          <w:b/>
        </w:rPr>
        <w:t>Task 2</w:t>
      </w:r>
      <w:r>
        <w:t>. Shade in red the disadvantages of aid and in green the advantages in the table below.</w:t>
      </w:r>
    </w:p>
    <w:tbl>
      <w:tblPr>
        <w:tblStyle w:val="TableGrid"/>
        <w:tblW w:w="9352" w:type="dxa"/>
        <w:tblInd w:w="725" w:type="dxa"/>
        <w:tblCellMar>
          <w:top w:w="100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9367BD" w14:paraId="4183E38A" w14:textId="77777777">
        <w:trPr>
          <w:trHeight w:val="12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9E8CC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Aid can increase the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dependency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of LEDCs on donor countries. Sometimes aid is not a gift, but a loan, and poor countries may struggle to </w:t>
            </w:r>
            <w:proofErr w:type="gramStart"/>
            <w:r>
              <w:rPr>
                <w:rFonts w:ascii="Verdana" w:eastAsia="Verdana" w:hAnsi="Verdana" w:cs="Verdana"/>
                <w:color w:val="333333"/>
                <w:sz w:val="19"/>
              </w:rPr>
              <w:t>repay..</w:t>
            </w:r>
            <w:proofErr w:type="gramEnd"/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A111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Provision of medical training,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medicines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and equipment can improve health and standards of living. </w:t>
            </w:r>
          </w:p>
        </w:tc>
      </w:tr>
      <w:tr w:rsidR="009367BD" w14:paraId="0A7DFC1A" w14:textId="77777777">
        <w:trPr>
          <w:trHeight w:val="1248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0137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Aid helps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rebuild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livelihoods and housing after a disaster.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4A440" w14:textId="77777777" w:rsidR="009367BD" w:rsidRDefault="00000000">
            <w:pPr>
              <w:spacing w:after="0"/>
              <w:ind w:right="39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Aid may not reach the people who need it most.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Corruption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may lead to local politicians using aid for their own means or for political gain. </w:t>
            </w:r>
          </w:p>
        </w:tc>
      </w:tr>
      <w:tr w:rsidR="009367BD" w14:paraId="38CCB4B8" w14:textId="77777777">
        <w:trPr>
          <w:trHeight w:val="12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248C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Sometimes projects do not benefit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smaller farmers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and projects are often large scale.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E40E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Aid can be used to put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political or economic pressure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on the receiving country. The country may end up owing a donor country or organisation a favour. </w:t>
            </w:r>
          </w:p>
        </w:tc>
      </w:tr>
      <w:tr w:rsidR="009367BD" w14:paraId="5D7D24F5" w14:textId="77777777">
        <w:trPr>
          <w:trHeight w:val="9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C333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Aid for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agriculture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can help increase food production and so improve the quality and quantity of food available.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285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Emergency aid in times of disaster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saves lives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. </w:t>
            </w:r>
          </w:p>
        </w:tc>
      </w:tr>
      <w:tr w:rsidR="009367BD" w14:paraId="630ACDCF" w14:textId="77777777">
        <w:trPr>
          <w:trHeight w:val="973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A299" w14:textId="77777777" w:rsidR="009367BD" w:rsidRDefault="00000000">
            <w:pPr>
              <w:spacing w:after="32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Encouraging aid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 xml:space="preserve">industrial </w:t>
            </w:r>
          </w:p>
          <w:p w14:paraId="7E0D8804" w14:textId="77777777" w:rsidR="009367BD" w:rsidRDefault="00000000">
            <w:pPr>
              <w:spacing w:after="0"/>
              <w:jc w:val="both"/>
            </w:pP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development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can create jobs and improve transport infrastructure.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809BF" w14:textId="77777777" w:rsidR="009367BD" w:rsidRDefault="00000000">
            <w:pPr>
              <w:spacing w:after="0"/>
              <w:ind w:right="24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Infrastructure projects may end up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benefiting employers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more than employees. </w:t>
            </w:r>
          </w:p>
        </w:tc>
      </w:tr>
      <w:tr w:rsidR="009367BD" w14:paraId="59CF6CE8" w14:textId="77777777">
        <w:trPr>
          <w:trHeight w:val="97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6DD8" w14:textId="77777777" w:rsidR="009367BD" w:rsidRDefault="00000000">
            <w:pPr>
              <w:spacing w:after="0"/>
              <w:ind w:right="134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lastRenderedPageBreak/>
              <w:t xml:space="preserve">Aid can support countries in developing their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natural resources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and power supplies.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C3AC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Projects that develop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clean water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and sanitation can lead to improved health and living standards. </w:t>
            </w:r>
          </w:p>
        </w:tc>
      </w:tr>
      <w:tr w:rsidR="009367BD" w14:paraId="1F6CDC0A" w14:textId="77777777">
        <w:trPr>
          <w:trHeight w:val="125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EECE" w14:textId="77777777" w:rsidR="009367BD" w:rsidRDefault="00000000">
            <w:pPr>
              <w:spacing w:after="0"/>
              <w:ind w:right="247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It may be a condition of the investment that the projects are run by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foreign companies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 or that a proportion of the resources or profits will be sent abroad.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053D" w14:textId="77777777" w:rsidR="009367BD" w:rsidRDefault="00000000">
            <w:pPr>
              <w:spacing w:after="0"/>
            </w:pP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Some development projects may lead to food and water </w:t>
            </w:r>
            <w:r>
              <w:rPr>
                <w:rFonts w:ascii="Verdana" w:eastAsia="Verdana" w:hAnsi="Verdana" w:cs="Verdana"/>
                <w:b/>
                <w:color w:val="333333"/>
                <w:sz w:val="19"/>
              </w:rPr>
              <w:t>costing more</w:t>
            </w:r>
            <w:r>
              <w:rPr>
                <w:rFonts w:ascii="Verdana" w:eastAsia="Verdana" w:hAnsi="Verdana" w:cs="Verdana"/>
                <w:color w:val="333333"/>
                <w:sz w:val="19"/>
              </w:rPr>
              <w:t xml:space="preserve">. </w:t>
            </w:r>
          </w:p>
        </w:tc>
      </w:tr>
    </w:tbl>
    <w:p w14:paraId="2E422E2C" w14:textId="77777777" w:rsidR="004C7A1F" w:rsidRDefault="004C7A1F"/>
    <w:sectPr w:rsidR="004C7A1F">
      <w:pgSz w:w="12240" w:h="15840"/>
      <w:pgMar w:top="1440" w:right="1440" w:bottom="85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BD"/>
    <w:rsid w:val="001B7A95"/>
    <w:rsid w:val="004C7A1F"/>
    <w:rsid w:val="009367BD"/>
    <w:rsid w:val="00D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11BA"/>
  <w15:docId w15:val="{FEEDEC0D-72E5-414B-8553-D84D7EC1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B7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1995</Characters>
  <Application>Microsoft Office Word</Application>
  <DocSecurity>0</DocSecurity>
  <Lines>16</Lines>
  <Paragraphs>4</Paragraphs>
  <ScaleCrop>false</ScaleCrop>
  <Company>International School of Toulouse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cp:lastModifiedBy>Matthew Podbury</cp:lastModifiedBy>
  <cp:revision>3</cp:revision>
  <dcterms:created xsi:type="dcterms:W3CDTF">2024-02-29T07:12:00Z</dcterms:created>
  <dcterms:modified xsi:type="dcterms:W3CDTF">2024-02-29T07:13:00Z</dcterms:modified>
</cp:coreProperties>
</file>